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 Annex C – ESG &amp; SDG Impact</w:t>
      </w:r>
    </w:p>
    <w:p>
      <w:r>
        <w:t>Methodology: ESG metrics are modelled estimates, mapped to UN Sustainable Development Goals (SDGs). Validation will occur post‑launch through independent monitoring and reporting.</w:t>
      </w:r>
    </w:p>
    <w:p>
      <w:r>
        <w:t>ESG &amp; SDG Alignment Table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Metric</w:t>
            </w:r>
          </w:p>
        </w:tc>
        <w:tc>
          <w:tcPr>
            <w:tcW w:type="dxa" w:w="1728"/>
          </w:tcPr>
          <w:p>
            <w:r>
              <w:t>Value (Modelled)</w:t>
            </w:r>
          </w:p>
        </w:tc>
        <w:tc>
          <w:tcPr>
            <w:tcW w:type="dxa" w:w="1728"/>
          </w:tcPr>
          <w:p>
            <w:r>
              <w:t>Linked SDG</w:t>
            </w:r>
          </w:p>
        </w:tc>
        <w:tc>
          <w:tcPr>
            <w:tcW w:type="dxa" w:w="1728"/>
          </w:tcPr>
          <w:p>
            <w:r>
              <w:t>SDG Target Reference</w:t>
            </w:r>
          </w:p>
        </w:tc>
        <w:tc>
          <w:tcPr>
            <w:tcW w:type="dxa" w:w="1728"/>
          </w:tcPr>
          <w:p>
            <w:r>
              <w:t>Measurement Method (Pre‑Launch)</w:t>
            </w:r>
          </w:p>
        </w:tc>
      </w:tr>
      <w:tr>
        <w:tc>
          <w:tcPr>
            <w:tcW w:type="dxa" w:w="1728"/>
          </w:tcPr>
          <w:p>
            <w:r>
              <w:t>Jobs Created</w:t>
            </w:r>
          </w:p>
        </w:tc>
        <w:tc>
          <w:tcPr>
            <w:tcW w:type="dxa" w:w="1728"/>
          </w:tcPr>
          <w:p>
            <w:r>
              <w:t>10 (Y1) → 20 (Y5)</w:t>
            </w:r>
          </w:p>
        </w:tc>
        <w:tc>
          <w:tcPr>
            <w:tcW w:type="dxa" w:w="1728"/>
          </w:tcPr>
          <w:p>
            <w:r>
              <w:t>SDG 8 – Decent Work &amp; Economic Growth</w:t>
            </w:r>
          </w:p>
        </w:tc>
        <w:tc>
          <w:tcPr>
            <w:tcW w:type="dxa" w:w="1728"/>
          </w:tcPr>
          <w:p>
            <w:r>
              <w:t>8.5: Full employment &amp; decent work</w:t>
            </w:r>
          </w:p>
        </w:tc>
        <w:tc>
          <w:tcPr>
            <w:tcW w:type="dxa" w:w="1728"/>
          </w:tcPr>
          <w:p>
            <w:r>
              <w:t>Modelled staffing plan</w:t>
            </w:r>
          </w:p>
        </w:tc>
      </w:tr>
      <w:tr>
        <w:tc>
          <w:tcPr>
            <w:tcW w:type="dxa" w:w="1728"/>
          </w:tcPr>
          <w:p>
            <w:r>
              <w:t>Land Restored</w:t>
            </w:r>
          </w:p>
        </w:tc>
        <w:tc>
          <w:tcPr>
            <w:tcW w:type="dxa" w:w="1728"/>
          </w:tcPr>
          <w:p>
            <w:r>
              <w:t>2 ha (Y1) → 5 ha (Y5)</w:t>
            </w:r>
          </w:p>
        </w:tc>
        <w:tc>
          <w:tcPr>
            <w:tcW w:type="dxa" w:w="1728"/>
          </w:tcPr>
          <w:p>
            <w:r>
              <w:t>SDG 15 – Life on Land</w:t>
            </w:r>
          </w:p>
        </w:tc>
        <w:tc>
          <w:tcPr>
            <w:tcW w:type="dxa" w:w="1728"/>
          </w:tcPr>
          <w:p>
            <w:r>
              <w:t>15.3: Combat desertification, restore degraded land</w:t>
            </w:r>
          </w:p>
        </w:tc>
        <w:tc>
          <w:tcPr>
            <w:tcW w:type="dxa" w:w="1728"/>
          </w:tcPr>
          <w:p>
            <w:r>
              <w:t>Land rehabilitation plan</w:t>
            </w:r>
          </w:p>
        </w:tc>
      </w:tr>
      <w:tr>
        <w:tc>
          <w:tcPr>
            <w:tcW w:type="dxa" w:w="1728"/>
          </w:tcPr>
          <w:p>
            <w:r>
              <w:t>Carbon Footprint</w:t>
            </w:r>
          </w:p>
        </w:tc>
        <w:tc>
          <w:tcPr>
            <w:tcW w:type="dxa" w:w="1728"/>
          </w:tcPr>
          <w:p>
            <w:r>
              <w:t>Carbon Negative by Y2</w:t>
            </w:r>
          </w:p>
        </w:tc>
        <w:tc>
          <w:tcPr>
            <w:tcW w:type="dxa" w:w="1728"/>
          </w:tcPr>
          <w:p>
            <w:r>
              <w:t>SDG 13 – Climate Action</w:t>
            </w:r>
          </w:p>
        </w:tc>
        <w:tc>
          <w:tcPr>
            <w:tcW w:type="dxa" w:w="1728"/>
          </w:tcPr>
          <w:p>
            <w:r>
              <w:t>13.2: Integrate climate measures into policies</w:t>
            </w:r>
          </w:p>
        </w:tc>
        <w:tc>
          <w:tcPr>
            <w:tcW w:type="dxa" w:w="1728"/>
          </w:tcPr>
          <w:p>
            <w:r>
              <w:t>Carbon offset modelling</w:t>
            </w:r>
          </w:p>
        </w:tc>
      </w:tr>
      <w:tr>
        <w:tc>
          <w:tcPr>
            <w:tcW w:type="dxa" w:w="1728"/>
          </w:tcPr>
          <w:p>
            <w:r>
              <w:t>Community Workshops</w:t>
            </w:r>
          </w:p>
        </w:tc>
        <w:tc>
          <w:tcPr>
            <w:tcW w:type="dxa" w:w="1728"/>
          </w:tcPr>
          <w:p>
            <w:r>
              <w:t>3 per year from Y2</w:t>
            </w:r>
          </w:p>
        </w:tc>
        <w:tc>
          <w:tcPr>
            <w:tcW w:type="dxa" w:w="1728"/>
          </w:tcPr>
          <w:p>
            <w:r>
              <w:t>SDG 4 – Quality Education</w:t>
            </w:r>
          </w:p>
        </w:tc>
        <w:tc>
          <w:tcPr>
            <w:tcW w:type="dxa" w:w="1728"/>
          </w:tcPr>
          <w:p>
            <w:r>
              <w:t>4.7: Education for sustainable development</w:t>
            </w:r>
          </w:p>
        </w:tc>
        <w:tc>
          <w:tcPr>
            <w:tcW w:type="dxa" w:w="1728"/>
          </w:tcPr>
          <w:p>
            <w:r>
              <w:t>Planned program schedule</w:t>
            </w:r>
          </w:p>
        </w:tc>
      </w:tr>
      <w:tr>
        <w:tc>
          <w:tcPr>
            <w:tcW w:type="dxa" w:w="1728"/>
          </w:tcPr>
          <w:p>
            <w:r>
              <w:t>Biodiversity Index</w:t>
            </w:r>
          </w:p>
        </w:tc>
        <w:tc>
          <w:tcPr>
            <w:tcW w:type="dxa" w:w="1728"/>
          </w:tcPr>
          <w:p>
            <w:r>
              <w:t>+15% by Y5</w:t>
            </w:r>
          </w:p>
        </w:tc>
        <w:tc>
          <w:tcPr>
            <w:tcW w:type="dxa" w:w="1728"/>
          </w:tcPr>
          <w:p>
            <w:r>
              <w:t>SDG 15 – Life on Land</w:t>
            </w:r>
          </w:p>
        </w:tc>
        <w:tc>
          <w:tcPr>
            <w:tcW w:type="dxa" w:w="1728"/>
          </w:tcPr>
          <w:p>
            <w:r>
              <w:t>15.5: Protect biodiversity &amp; ecosystems</w:t>
            </w:r>
          </w:p>
        </w:tc>
        <w:tc>
          <w:tcPr>
            <w:tcW w:type="dxa" w:w="1728"/>
          </w:tcPr>
          <w:p>
            <w:r>
              <w:t>Ecological baseline survey</w:t>
            </w:r>
          </w:p>
        </w:tc>
      </w:tr>
    </w:tbl>
    <w:p>
      <w:r>
        <w:t>Key View: Terra Vita’s ESG strategy is tangible and measurable, with clear alignment to global frameworks. Even pre‑launch, the model demonstrates how jobs, land, carbon, and community outcomes reinforce both impact and investor credibility.</w:t>
      </w:r>
    </w:p>
    <w:p>
      <w:r>
        <w:t>Investor Logic</w:t>
      </w:r>
    </w:p>
    <w:p>
      <w:r>
        <w:t>Jobs: Direct social impact, creating livelihoods in rural South Africa.</w:t>
      </w:r>
    </w:p>
    <w:p>
      <w:r>
        <w:t>Land: Asset‑based regeneration, improving ecological and financial value simultaneously.</w:t>
      </w:r>
    </w:p>
    <w:p>
      <w:r>
        <w:t>Carbon: Early carbon‑negative status strengthens climate credentials and potential credit revenue.</w:t>
      </w:r>
    </w:p>
    <w:p>
      <w:r>
        <w:t>Community: Workshops embed Terra Vita in the local ecosystem, building trust and visibility.</w:t>
      </w:r>
    </w:p>
    <w:p>
      <w:r>
        <w:t>Biodiversity: Adds depth to ESG beyond carbon, appealing to impact‑driven investors.</w:t>
      </w:r>
    </w:p>
    <w:p>
      <w:r>
        <w:t>Visuals</w:t>
      </w:r>
    </w:p>
    <w:p>
      <w:r>
        <w:drawing>
          <wp:inline xmlns:a="http://schemas.openxmlformats.org/drawingml/2006/main" xmlns:pic="http://schemas.openxmlformats.org/drawingml/2006/picture">
            <wp:extent cx="5029200" cy="3017520"/>
            <wp:docPr id="1" name="Picture 1"/>
            <wp:cNvGraphicFramePr>
              <a:graphicFrameLocks noChangeAspect="1"/>
            </wp:cNvGraphicFramePr>
            <a:graphic>
              <a:graphicData uri="http://schemas.openxmlformats.org/drawingml/2006/picture">
                <pic:pic>
                  <pic:nvPicPr>
                    <pic:cNvPr id="0" name="annexC_jobs.png"/>
                    <pic:cNvPicPr/>
                  </pic:nvPicPr>
                  <pic:blipFill>
                    <a:blip r:embed="rId9"/>
                    <a:stretch>
                      <a:fillRect/>
                    </a:stretch>
                  </pic:blipFill>
                  <pic:spPr>
                    <a:xfrm>
                      <a:off x="0" y="0"/>
                      <a:ext cx="5029200" cy="3017520"/>
                    </a:xfrm>
                    <a:prstGeom prst="rect"/>
                  </pic:spPr>
                </pic:pic>
              </a:graphicData>
            </a:graphic>
          </wp:inline>
        </w:drawing>
      </w:r>
    </w:p>
    <w:p>
      <w:r>
        <w:drawing>
          <wp:inline xmlns:a="http://schemas.openxmlformats.org/drawingml/2006/main" xmlns:pic="http://schemas.openxmlformats.org/drawingml/2006/picture">
            <wp:extent cx="5029200" cy="3017520"/>
            <wp:docPr id="2" name="Picture 2"/>
            <wp:cNvGraphicFramePr>
              <a:graphicFrameLocks noChangeAspect="1"/>
            </wp:cNvGraphicFramePr>
            <a:graphic>
              <a:graphicData uri="http://schemas.openxmlformats.org/drawingml/2006/picture">
                <pic:pic>
                  <pic:nvPicPr>
                    <pic:cNvPr id="0" name="annexC_land.png"/>
                    <pic:cNvPicPr/>
                  </pic:nvPicPr>
                  <pic:blipFill>
                    <a:blip r:embed="rId10"/>
                    <a:stretch>
                      <a:fillRect/>
                    </a:stretch>
                  </pic:blipFill>
                  <pic:spPr>
                    <a:xfrm>
                      <a:off x="0" y="0"/>
                      <a:ext cx="5029200" cy="3017520"/>
                    </a:xfrm>
                    <a:prstGeom prst="rect"/>
                  </pic:spPr>
                </pic:pic>
              </a:graphicData>
            </a:graphic>
          </wp:inline>
        </w:drawing>
      </w:r>
    </w:p>
    <w:p>
      <w:r>
        <w:drawing>
          <wp:inline xmlns:a="http://schemas.openxmlformats.org/drawingml/2006/main" xmlns:pic="http://schemas.openxmlformats.org/drawingml/2006/picture">
            <wp:extent cx="5029200" cy="3017520"/>
            <wp:docPr id="3" name="Picture 3"/>
            <wp:cNvGraphicFramePr>
              <a:graphicFrameLocks noChangeAspect="1"/>
            </wp:cNvGraphicFramePr>
            <a:graphic>
              <a:graphicData uri="http://schemas.openxmlformats.org/drawingml/2006/picture">
                <pic:pic>
                  <pic:nvPicPr>
                    <pic:cNvPr id="0" name="annexC_carbon.png"/>
                    <pic:cNvPicPr/>
                  </pic:nvPicPr>
                  <pic:blipFill>
                    <a:blip r:embed="rId11"/>
                    <a:stretch>
                      <a:fillRect/>
                    </a:stretch>
                  </pic:blipFill>
                  <pic:spPr>
                    <a:xfrm>
                      <a:off x="0" y="0"/>
                      <a:ext cx="5029200" cy="3017520"/>
                    </a:xfrm>
                    <a:prstGeom prst="rect"/>
                  </pic:spPr>
                </pic:pic>
              </a:graphicData>
            </a:graphic>
          </wp:inline>
        </w:drawing>
      </w:r>
    </w:p>
    <w:p>
      <w:r>
        <w:drawing>
          <wp:inline xmlns:a="http://schemas.openxmlformats.org/drawingml/2006/main" xmlns:pic="http://schemas.openxmlformats.org/drawingml/2006/picture">
            <wp:extent cx="5029200" cy="3017520"/>
            <wp:docPr id="4" name="Picture 4"/>
            <wp:cNvGraphicFramePr>
              <a:graphicFrameLocks noChangeAspect="1"/>
            </wp:cNvGraphicFramePr>
            <a:graphic>
              <a:graphicData uri="http://schemas.openxmlformats.org/drawingml/2006/picture">
                <pic:pic>
                  <pic:nvPicPr>
                    <pic:cNvPr id="0" name="annexC_workshops.png"/>
                    <pic:cNvPicPr/>
                  </pic:nvPicPr>
                  <pic:blipFill>
                    <a:blip r:embed="rId12"/>
                    <a:stretch>
                      <a:fillRect/>
                    </a:stretch>
                  </pic:blipFill>
                  <pic:spPr>
                    <a:xfrm>
                      <a:off x="0" y="0"/>
                      <a:ext cx="5029200" cy="3017520"/>
                    </a:xfrm>
                    <a:prstGeom prst="rect"/>
                  </pic:spPr>
                </pic:pic>
              </a:graphicData>
            </a:graphic>
          </wp:inline>
        </w:drawing>
      </w:r>
    </w:p>
    <w:p>
      <w:r>
        <w:drawing>
          <wp:inline xmlns:a="http://schemas.openxmlformats.org/drawingml/2006/main" xmlns:pic="http://schemas.openxmlformats.org/drawingml/2006/picture">
            <wp:extent cx="5029200" cy="3017520"/>
            <wp:docPr id="5" name="Picture 5"/>
            <wp:cNvGraphicFramePr>
              <a:graphicFrameLocks noChangeAspect="1"/>
            </wp:cNvGraphicFramePr>
            <a:graphic>
              <a:graphicData uri="http://schemas.openxmlformats.org/drawingml/2006/picture">
                <pic:pic>
                  <pic:nvPicPr>
                    <pic:cNvPr id="0" name="annexC_biodiversity.png"/>
                    <pic:cNvPicPr/>
                  </pic:nvPicPr>
                  <pic:blipFill>
                    <a:blip r:embed="rId13"/>
                    <a:stretch>
                      <a:fillRect/>
                    </a:stretch>
                  </pic:blipFill>
                  <pic:spPr>
                    <a:xfrm>
                      <a:off x="0" y="0"/>
                      <a:ext cx="5029200" cy="3017520"/>
                    </a:xfrm>
                    <a:prstGeom prst="rect"/>
                  </pic:spPr>
                </pic:pic>
              </a:graphicData>
            </a:graphic>
          </wp:inline>
        </w:drawing>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